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1B2576FE" w:rsidR="002C1220" w:rsidRPr="00F418FD" w:rsidRDefault="005F10C3" w:rsidP="002C1220">
      <w:pPr>
        <w:pStyle w:val="Header"/>
        <w:tabs>
          <w:tab w:val="right" w:pos="9639"/>
        </w:tabs>
        <w:jc w:val="both"/>
        <w:rPr>
          <w:rFonts w:cs="Arial"/>
          <w:bCs/>
          <w:i/>
          <w:noProof w:val="0"/>
          <w:sz w:val="24"/>
          <w:szCs w:val="24"/>
        </w:rPr>
      </w:pPr>
      <w:bookmarkStart w:id="0" w:name="_Hlk519580081"/>
      <w:r w:rsidRPr="00F418FD">
        <w:rPr>
          <w:rFonts w:cs="Arial"/>
          <w:bCs/>
          <w:noProof w:val="0"/>
          <w:sz w:val="24"/>
          <w:szCs w:val="24"/>
        </w:rPr>
        <w:t>3GPP TSG-RAN WG3 Meeting #10</w:t>
      </w:r>
      <w:r w:rsidR="00FA4A45" w:rsidRPr="00F418FD">
        <w:rPr>
          <w:rFonts w:cs="Arial"/>
          <w:bCs/>
          <w:noProof w:val="0"/>
          <w:sz w:val="24"/>
          <w:szCs w:val="24"/>
        </w:rPr>
        <w:t>7</w:t>
      </w:r>
      <w:r w:rsidR="00BD2120">
        <w:rPr>
          <w:rFonts w:cs="Arial"/>
          <w:bCs/>
          <w:noProof w:val="0"/>
          <w:sz w:val="24"/>
          <w:szCs w:val="24"/>
        </w:rPr>
        <w:t>-e</w:t>
      </w:r>
      <w:r w:rsidR="002C1220" w:rsidRPr="00F418FD">
        <w:rPr>
          <w:rFonts w:cs="Arial"/>
          <w:bCs/>
          <w:noProof w:val="0"/>
          <w:sz w:val="24"/>
          <w:szCs w:val="24"/>
        </w:rPr>
        <w:tab/>
      </w:r>
      <w:r w:rsidR="00AE3238" w:rsidRPr="00AE3238">
        <w:rPr>
          <w:rFonts w:cs="Arial"/>
          <w:bCs/>
          <w:noProof w:val="0"/>
          <w:sz w:val="24"/>
          <w:szCs w:val="24"/>
        </w:rPr>
        <w:t>R3-201161</w:t>
      </w:r>
    </w:p>
    <w:bookmarkEnd w:id="0"/>
    <w:p w14:paraId="5669B020" w14:textId="1C3757BE" w:rsidR="004C654E" w:rsidRPr="00F418FD" w:rsidRDefault="00BD2120" w:rsidP="004C654E">
      <w:pPr>
        <w:pStyle w:val="Header"/>
        <w:tabs>
          <w:tab w:val="left" w:pos="2410"/>
        </w:tabs>
        <w:rPr>
          <w:rFonts w:eastAsia="MS Mincho" w:cs="Arial"/>
          <w:sz w:val="24"/>
          <w:szCs w:val="24"/>
        </w:rPr>
      </w:pPr>
      <w:r>
        <w:rPr>
          <w:rFonts w:eastAsia="MS Mincho" w:cs="Arial"/>
          <w:sz w:val="24"/>
          <w:szCs w:val="24"/>
        </w:rPr>
        <w:t>E-meeting</w:t>
      </w:r>
      <w:r w:rsidR="00FC5FE8" w:rsidRPr="00F418FD">
        <w:rPr>
          <w:rFonts w:eastAsia="MS Mincho" w:cs="Arial"/>
          <w:sz w:val="24"/>
          <w:szCs w:val="24"/>
        </w:rPr>
        <w:t xml:space="preserve">, </w:t>
      </w:r>
      <w:r w:rsidR="007A6F2F" w:rsidRPr="00F418FD">
        <w:rPr>
          <w:rFonts w:eastAsia="MS Mincho" w:cs="Arial"/>
          <w:sz w:val="24"/>
          <w:szCs w:val="24"/>
        </w:rPr>
        <w:t>2</w:t>
      </w:r>
      <w:r w:rsidR="00FA4A45" w:rsidRPr="00F418FD">
        <w:rPr>
          <w:rFonts w:eastAsia="MS Mincho" w:cs="Arial"/>
          <w:sz w:val="24"/>
          <w:szCs w:val="24"/>
        </w:rPr>
        <w:t>4</w:t>
      </w:r>
      <w:r w:rsidR="00FC5FE8" w:rsidRPr="00F418FD">
        <w:rPr>
          <w:rFonts w:eastAsia="MS Mincho" w:cs="Arial"/>
          <w:sz w:val="24"/>
          <w:szCs w:val="24"/>
        </w:rPr>
        <w:t xml:space="preserve"> </w:t>
      </w:r>
      <w:r w:rsidR="00FA4A45" w:rsidRPr="00F418FD">
        <w:rPr>
          <w:rFonts w:eastAsia="MS Mincho" w:cs="Arial"/>
          <w:sz w:val="24"/>
          <w:szCs w:val="24"/>
        </w:rPr>
        <w:t>Feb</w:t>
      </w:r>
      <w:r w:rsidR="005F10C3" w:rsidRPr="00F418FD">
        <w:rPr>
          <w:rFonts w:eastAsia="MS Mincho" w:cs="Arial"/>
          <w:sz w:val="24"/>
          <w:szCs w:val="24"/>
        </w:rPr>
        <w:t xml:space="preserve"> </w:t>
      </w:r>
      <w:r>
        <w:rPr>
          <w:rFonts w:eastAsia="MS Mincho" w:cs="Arial"/>
          <w:sz w:val="24"/>
          <w:szCs w:val="24"/>
        </w:rPr>
        <w:t xml:space="preserve">– 6 Mar </w:t>
      </w:r>
      <w:r w:rsidR="005F10C3" w:rsidRPr="00F418FD">
        <w:rPr>
          <w:rFonts w:eastAsia="MS Mincho" w:cs="Arial"/>
          <w:sz w:val="24"/>
          <w:szCs w:val="24"/>
        </w:rPr>
        <w:t>20</w:t>
      </w:r>
      <w:r w:rsidR="00FA4A45" w:rsidRPr="00F418FD">
        <w:rPr>
          <w:rFonts w:eastAsia="MS Mincho" w:cs="Arial"/>
          <w:sz w:val="24"/>
          <w:szCs w:val="24"/>
        </w:rPr>
        <w:t>20</w:t>
      </w:r>
    </w:p>
    <w:p w14:paraId="2F96B0BD" w14:textId="77777777" w:rsidR="002F2360" w:rsidRPr="00F418FD" w:rsidRDefault="002F2360" w:rsidP="002F2360">
      <w:pPr>
        <w:pStyle w:val="Header"/>
        <w:tabs>
          <w:tab w:val="left" w:pos="2410"/>
        </w:tabs>
        <w:rPr>
          <w:bCs/>
          <w:noProof w:val="0"/>
          <w:sz w:val="24"/>
        </w:rPr>
      </w:pPr>
    </w:p>
    <w:p w14:paraId="430718D4" w14:textId="4B02A940" w:rsidR="002F2360" w:rsidRPr="00F418FD" w:rsidRDefault="002F2360" w:rsidP="002F2360">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sidR="00BD2120" w:rsidRPr="00BD2120">
        <w:rPr>
          <w:rFonts w:cs="Arial"/>
          <w:b/>
          <w:bCs/>
          <w:sz w:val="24"/>
        </w:rPr>
        <w:t>15.3.1.4</w:t>
      </w:r>
    </w:p>
    <w:p w14:paraId="02505283" w14:textId="77777777" w:rsidR="002F2360" w:rsidRPr="00F418FD" w:rsidRDefault="002F2360" w:rsidP="002F2360">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p>
    <w:p w14:paraId="5E7A28BB" w14:textId="35DFCA48" w:rsidR="00CD4C7B" w:rsidRPr="00F418FD" w:rsidRDefault="00CD4C7B" w:rsidP="00EE13A8">
      <w:pPr>
        <w:tabs>
          <w:tab w:val="left" w:pos="2410"/>
        </w:tabs>
        <w:ind w:left="1985" w:hanging="1985"/>
        <w:rPr>
          <w:rFonts w:ascii="Arial" w:hAnsi="Arial" w:cs="Arial"/>
          <w:b/>
          <w:bCs/>
          <w:sz w:val="24"/>
        </w:rPr>
      </w:pPr>
      <w:r w:rsidRPr="00F418FD">
        <w:rPr>
          <w:rFonts w:ascii="Arial" w:hAnsi="Arial" w:cs="Arial"/>
          <w:b/>
          <w:bCs/>
          <w:sz w:val="24"/>
        </w:rPr>
        <w:t>Title:</w:t>
      </w:r>
      <w:r w:rsidRPr="00F418FD">
        <w:rPr>
          <w:rFonts w:ascii="Arial" w:hAnsi="Arial" w:cs="Arial"/>
          <w:b/>
          <w:bCs/>
          <w:sz w:val="24"/>
        </w:rPr>
        <w:tab/>
      </w:r>
      <w:r w:rsidR="00AE3238" w:rsidRPr="00AE3238">
        <w:rPr>
          <w:rFonts w:ascii="Arial" w:hAnsi="Arial" w:cs="Arial"/>
          <w:b/>
          <w:bCs/>
          <w:sz w:val="24"/>
        </w:rPr>
        <w:t>Summary of the email discussion #9</w:t>
      </w:r>
      <w:r w:rsidR="00AE3238">
        <w:rPr>
          <w:rFonts w:ascii="Arial" w:hAnsi="Arial" w:cs="Arial"/>
          <w:b/>
          <w:bCs/>
          <w:sz w:val="24"/>
        </w:rPr>
        <w:t>0</w:t>
      </w:r>
      <w:r w:rsidR="00AE3238" w:rsidRPr="00AE3238">
        <w:rPr>
          <w:rFonts w:ascii="Arial" w:hAnsi="Arial" w:cs="Arial"/>
          <w:b/>
          <w:bCs/>
          <w:sz w:val="24"/>
        </w:rPr>
        <w:t xml:space="preserve"> (MobEnh_CHO_common_CHOcancel)</w:t>
      </w:r>
    </w:p>
    <w:p w14:paraId="0F79702C" w14:textId="21E8889E" w:rsidR="00CD4C7B" w:rsidRPr="00F418FD" w:rsidRDefault="00CD4C7B" w:rsidP="00EE13A8">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r>
      <w:r w:rsidR="00AE3238">
        <w:rPr>
          <w:rFonts w:ascii="Arial" w:hAnsi="Arial" w:cs="Arial"/>
          <w:b/>
          <w:bCs/>
          <w:sz w:val="24"/>
        </w:rPr>
        <w:t>Endorsement</w:t>
      </w:r>
    </w:p>
    <w:p w14:paraId="3F7C60B7" w14:textId="77777777" w:rsidR="00AB30AE" w:rsidRPr="00F418FD" w:rsidRDefault="00AB30AE" w:rsidP="00EE13A8">
      <w:pPr>
        <w:tabs>
          <w:tab w:val="left" w:pos="1985"/>
          <w:tab w:val="left" w:pos="2410"/>
        </w:tabs>
        <w:rPr>
          <w:rFonts w:ascii="Arial" w:hAnsi="Arial" w:cs="Arial"/>
          <w:bCs/>
          <w:sz w:val="24"/>
        </w:rPr>
      </w:pPr>
    </w:p>
    <w:p w14:paraId="40D0F11F" w14:textId="3CF2C848" w:rsidR="00CD4C7B" w:rsidRPr="00F418FD" w:rsidRDefault="00CD4C7B" w:rsidP="00EE13A8">
      <w:pPr>
        <w:pStyle w:val="Heading1"/>
        <w:tabs>
          <w:tab w:val="left" w:pos="2410"/>
        </w:tabs>
      </w:pPr>
      <w:r w:rsidRPr="00F418FD">
        <w:t>1</w:t>
      </w:r>
      <w:r w:rsidRPr="00F418FD">
        <w:tab/>
      </w:r>
      <w:r w:rsidR="0056573F" w:rsidRPr="00F418FD">
        <w:t>Introduction</w:t>
      </w:r>
    </w:p>
    <w:p w14:paraId="1DD4A650" w14:textId="77777777" w:rsidR="00AE3238" w:rsidRPr="00AE3238" w:rsidRDefault="00AE3238" w:rsidP="00AE3238">
      <w:bookmarkStart w:id="1" w:name="_Toc474247438"/>
      <w:r w:rsidRPr="00AE3238">
        <w:t>At RAN3 #107-e meeting, an email discussion was initiated according to the following guidelines:</w:t>
      </w:r>
    </w:p>
    <w:tbl>
      <w:tblPr>
        <w:tblW w:w="9930" w:type="dxa"/>
        <w:tblInd w:w="-39" w:type="dxa"/>
        <w:tblLayout w:type="fixed"/>
        <w:tblLook w:val="0000" w:firstRow="0" w:lastRow="0" w:firstColumn="0" w:lastColumn="0" w:noHBand="0" w:noVBand="0"/>
      </w:tblPr>
      <w:tblGrid>
        <w:gridCol w:w="9930"/>
      </w:tblGrid>
      <w:tr w:rsidR="00AE3238" w14:paraId="4AA5DFB4" w14:textId="77777777" w:rsidTr="00DD331B">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98982FB" w14:textId="77777777" w:rsidR="00AE3238" w:rsidRPr="00AC6E60" w:rsidRDefault="00AE3238" w:rsidP="00DD331B">
            <w:pPr>
              <w:widowControl w:val="0"/>
              <w:spacing w:after="0"/>
              <w:ind w:left="144" w:hanging="144"/>
              <w:rPr>
                <w:rFonts w:ascii="Calibri" w:hAnsi="Calibri" w:cs="Calibri"/>
                <w:b/>
                <w:color w:val="7030A0"/>
                <w:sz w:val="18"/>
                <w:szCs w:val="24"/>
              </w:rPr>
            </w:pPr>
            <w:r w:rsidRPr="00AC6E60">
              <w:rPr>
                <w:rFonts w:ascii="Calibri" w:hAnsi="Calibri" w:cs="Calibri"/>
                <w:b/>
                <w:color w:val="7030A0"/>
                <w:sz w:val="18"/>
                <w:szCs w:val="24"/>
              </w:rPr>
              <w:t>CB: # 90_</w:t>
            </w:r>
            <w:r>
              <w:rPr>
                <w:rFonts w:ascii="Calibri" w:hAnsi="Calibri" w:cs="Calibri"/>
                <w:b/>
                <w:color w:val="7030A0"/>
                <w:sz w:val="18"/>
                <w:szCs w:val="24"/>
              </w:rPr>
              <w:t>Email090-MobEnh_CHO_common_CHOcancel</w:t>
            </w:r>
          </w:p>
          <w:p w14:paraId="1B72ACE7" w14:textId="77777777" w:rsidR="00AE3238" w:rsidRDefault="00AE3238" w:rsidP="00DD331B">
            <w:pPr>
              <w:widowControl w:val="0"/>
              <w:spacing w:after="0"/>
              <w:ind w:left="144" w:hanging="144"/>
              <w:rPr>
                <w:rFonts w:ascii="Calibri" w:hAnsi="Calibri" w:cs="Calibri"/>
                <w:b/>
                <w:color w:val="7030A0"/>
                <w:sz w:val="18"/>
                <w:szCs w:val="24"/>
              </w:rPr>
            </w:pPr>
            <w:r w:rsidRPr="00AC6E60">
              <w:rPr>
                <w:rFonts w:ascii="Calibri" w:hAnsi="Calibri" w:cs="Calibri"/>
                <w:b/>
                <w:color w:val="7030A0"/>
                <w:sz w:val="18"/>
                <w:szCs w:val="24"/>
              </w:rPr>
              <w:t>-  to avoid the possible race situation, it is proposed to make the target-initiated cancellation a class-1 procedure with a single response type and an IE indicating the status of the UE</w:t>
            </w:r>
            <w:r>
              <w:rPr>
                <w:rFonts w:ascii="Calibri" w:hAnsi="Calibri" w:cs="Calibri"/>
                <w:b/>
                <w:color w:val="7030A0"/>
                <w:sz w:val="18"/>
                <w:szCs w:val="24"/>
              </w:rPr>
              <w:t>;</w:t>
            </w:r>
            <w:r w:rsidRPr="00AC6E60">
              <w:rPr>
                <w:rFonts w:ascii="Calibri" w:hAnsi="Calibri" w:cs="Calibri"/>
                <w:b/>
                <w:color w:val="7030A0"/>
                <w:sz w:val="18"/>
                <w:szCs w:val="24"/>
              </w:rPr>
              <w:t xml:space="preserve"> to enable the target to inform the source about the motivation of the cancellation, a dedicated flag shall be added to the target-initiated cancellation information</w:t>
            </w:r>
            <w:r>
              <w:rPr>
                <w:rFonts w:ascii="Calibri" w:hAnsi="Calibri" w:cs="Calibri"/>
                <w:b/>
                <w:color w:val="7030A0"/>
                <w:sz w:val="18"/>
                <w:szCs w:val="24"/>
              </w:rPr>
              <w:t>? (Nok)</w:t>
            </w:r>
          </w:p>
          <w:p w14:paraId="195FEBF8" w14:textId="77777777" w:rsidR="00AE3238" w:rsidRDefault="00AE3238" w:rsidP="00DD331B">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fix outstanding issues with abnormal conditions etc.? (ZTE)</w:t>
            </w:r>
          </w:p>
          <w:p w14:paraId="0FEC389A" w14:textId="77777777" w:rsidR="00AE3238" w:rsidRPr="00AC6E60" w:rsidRDefault="00AE3238" w:rsidP="00DD331B">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if agreeable, revise/merge as needed; go for agreement</w:t>
            </w:r>
          </w:p>
          <w:p w14:paraId="74442590" w14:textId="77777777" w:rsidR="00AE3238" w:rsidRDefault="00AE3238" w:rsidP="00DD331B">
            <w:pPr>
              <w:widowControl w:val="0"/>
              <w:spacing w:after="0"/>
              <w:ind w:left="144" w:hanging="144"/>
              <w:rPr>
                <w:rFonts w:ascii="Calibri" w:hAnsi="Calibri" w:cs="Calibri"/>
                <w:color w:val="000000"/>
                <w:sz w:val="18"/>
                <w:szCs w:val="24"/>
              </w:rPr>
            </w:pPr>
            <w:r>
              <w:rPr>
                <w:rFonts w:ascii="Calibri" w:hAnsi="Calibri" w:cs="Calibri"/>
                <w:color w:val="000000"/>
                <w:sz w:val="18"/>
                <w:szCs w:val="24"/>
              </w:rPr>
              <w:t>(Nok)</w:t>
            </w:r>
          </w:p>
          <w:p w14:paraId="7561F94C" w14:textId="77777777" w:rsidR="00AE3238" w:rsidRPr="00AC6E60" w:rsidRDefault="00AE3238" w:rsidP="00DD331B">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14" w:history="1">
              <w:r>
                <w:rPr>
                  <w:rStyle w:val="Hyperlink"/>
                  <w:rFonts w:ascii="Calibri" w:hAnsi="Calibri" w:cs="Calibri"/>
                  <w:sz w:val="18"/>
                  <w:szCs w:val="24"/>
                </w:rPr>
                <w:t>R3-201161</w:t>
              </w:r>
            </w:hyperlink>
          </w:p>
        </w:tc>
      </w:tr>
    </w:tbl>
    <w:p w14:paraId="073856FA" w14:textId="77777777" w:rsidR="00AE3238" w:rsidRDefault="00AE3238" w:rsidP="00AE3238"/>
    <w:p w14:paraId="53265EA3" w14:textId="1580BF52" w:rsidR="00AE3238" w:rsidRDefault="00AE3238" w:rsidP="00AE3238">
      <w:r w:rsidRPr="00AE3238">
        <w:t>The paper summarises the discussion and proposes conclusions.</w:t>
      </w:r>
    </w:p>
    <w:p w14:paraId="309917E7" w14:textId="2980F43C" w:rsidR="00051152" w:rsidRPr="00F418FD" w:rsidRDefault="00BE5235" w:rsidP="00AE3238">
      <w:pPr>
        <w:pStyle w:val="Heading1"/>
        <w:tabs>
          <w:tab w:val="left" w:pos="2410"/>
        </w:tabs>
      </w:pPr>
      <w:r w:rsidRPr="00F418FD">
        <w:t>2</w:t>
      </w:r>
      <w:r w:rsidR="00051152" w:rsidRPr="00F418FD">
        <w:tab/>
      </w:r>
      <w:r w:rsidRPr="00F418FD">
        <w:t>Discussion</w:t>
      </w:r>
    </w:p>
    <w:bookmarkEnd w:id="1"/>
    <w:p w14:paraId="63B0C482" w14:textId="15269930" w:rsidR="00FB5C55" w:rsidRDefault="006B5BCF" w:rsidP="005A41DA">
      <w:r>
        <w:t>There seem to be 3 separate proposals:</w:t>
      </w:r>
    </w:p>
    <w:p w14:paraId="06EE7FFE" w14:textId="7A8D4F57" w:rsidR="006B5BCF" w:rsidRPr="006B5BCF" w:rsidRDefault="006B5BCF" w:rsidP="006B5BCF">
      <w:pPr>
        <w:pStyle w:val="ListParagraph"/>
        <w:numPr>
          <w:ilvl w:val="0"/>
          <w:numId w:val="38"/>
        </w:numPr>
        <w:ind w:left="714" w:hanging="357"/>
        <w:contextualSpacing w:val="0"/>
      </w:pPr>
      <w:r w:rsidRPr="006B5BCF">
        <w:t>Changing the target-initiated cancellation into a class-1 procedure in order to enable confirmation that the CHO has been successfully cancelled in the UE (avoiding unnecessary delay in resource release at the target side)</w:t>
      </w:r>
      <w:r>
        <w:t xml:space="preserve"> </w:t>
      </w:r>
      <w:r>
        <w:br/>
        <w:t>(See [2-3])</w:t>
      </w:r>
      <w:r w:rsidRPr="006B5BCF">
        <w:t>;</w:t>
      </w:r>
    </w:p>
    <w:p w14:paraId="06B0F7C3" w14:textId="1B8E1DE1" w:rsidR="006B5BCF" w:rsidRPr="006B5BCF" w:rsidRDefault="006B5BCF" w:rsidP="006B5BCF">
      <w:pPr>
        <w:pStyle w:val="ListParagraph"/>
        <w:numPr>
          <w:ilvl w:val="0"/>
          <w:numId w:val="38"/>
        </w:numPr>
        <w:ind w:left="714" w:hanging="357"/>
        <w:contextualSpacing w:val="0"/>
      </w:pPr>
      <w:r w:rsidRPr="006B5BCF">
        <w:t>In the target-initiated cancellation, there should be an indication that the cancellation is because the resource status has changed and thus it is expected the source will re-initiate the CHO.</w:t>
      </w:r>
      <w:r>
        <w:t xml:space="preserve"> </w:t>
      </w:r>
      <w:r>
        <w:br/>
        <w:t>(See [2-3])</w:t>
      </w:r>
    </w:p>
    <w:p w14:paraId="04CF7426" w14:textId="32A5B2D5" w:rsidR="006B5BCF" w:rsidRDefault="006B5BCF" w:rsidP="006B5BCF">
      <w:pPr>
        <w:pStyle w:val="ListParagraph"/>
        <w:numPr>
          <w:ilvl w:val="0"/>
          <w:numId w:val="38"/>
        </w:numPr>
        <w:ind w:left="714" w:hanging="357"/>
        <w:contextualSpacing w:val="0"/>
      </w:pPr>
      <w:r w:rsidRPr="006B5BCF">
        <w:t>The descriptions of the source-initiated cancellation should contain abnormal conditions related to the wrong content of the list of cells to cancel. Also, the description of the target-initiated cancellation should be made clearer that releasing all the resources for the UE takes place only if the cancellation does not contain selected cells.</w:t>
      </w:r>
      <w:r>
        <w:t xml:space="preserve"> </w:t>
      </w:r>
      <w:r>
        <w:br/>
        <w:t>(See [4-5])</w:t>
      </w:r>
    </w:p>
    <w:p w14:paraId="31921D1F" w14:textId="78D2A383" w:rsidR="00B56BDC" w:rsidRPr="00340355" w:rsidRDefault="00340355" w:rsidP="006B5BCF">
      <w:pPr>
        <w:rPr>
          <w:b/>
          <w:bCs/>
          <w:lang w:val="en-US"/>
        </w:rPr>
      </w:pPr>
      <w:r w:rsidRPr="00340355">
        <w:rPr>
          <w:b/>
          <w:bCs/>
          <w:lang w:val="en-US"/>
        </w:rPr>
        <w:t xml:space="preserve">Please note: </w:t>
      </w:r>
      <w:r w:rsidR="00B56BDC" w:rsidRPr="00340355">
        <w:rPr>
          <w:b/>
          <w:bCs/>
          <w:lang w:val="en-US"/>
        </w:rPr>
        <w:t xml:space="preserve">Proposal (2) is being discussed as part of the CB # 89 – therefore, it is </w:t>
      </w:r>
      <w:r>
        <w:rPr>
          <w:b/>
          <w:bCs/>
          <w:lang w:val="en-US"/>
        </w:rPr>
        <w:t>not continued in</w:t>
      </w:r>
      <w:r w:rsidR="00B56BDC" w:rsidRPr="00340355">
        <w:rPr>
          <w:b/>
          <w:bCs/>
          <w:lang w:val="en-US"/>
        </w:rPr>
        <w:t xml:space="preserve"> this discussion. </w:t>
      </w:r>
    </w:p>
    <w:p w14:paraId="7899C821" w14:textId="3486C721" w:rsidR="006B5BCF" w:rsidRPr="006B5BCF" w:rsidRDefault="006B5BCF" w:rsidP="006B5BCF">
      <w:pPr>
        <w:rPr>
          <w:lang w:val="en-US"/>
        </w:rPr>
      </w:pPr>
      <w:r w:rsidRPr="006B5BCF">
        <w:rPr>
          <w:lang w:val="en-US"/>
        </w:rPr>
        <w:t>Comments in the discussion:</w:t>
      </w:r>
    </w:p>
    <w:p w14:paraId="613BA593" w14:textId="2912FC3E" w:rsidR="00B56BDC" w:rsidRPr="006E0DE3" w:rsidRDefault="006E0DE3" w:rsidP="006B5BCF">
      <w:pPr>
        <w:rPr>
          <w:b/>
          <w:bCs/>
          <w:u w:val="single"/>
          <w:lang w:val="en-US"/>
        </w:rPr>
      </w:pPr>
      <w:r w:rsidRPr="006E0DE3">
        <w:rPr>
          <w:b/>
          <w:bCs/>
          <w:u w:val="single"/>
          <w:lang w:val="en-US"/>
        </w:rPr>
        <w:t>Ericsson</w:t>
      </w:r>
    </w:p>
    <w:p w14:paraId="39A8A64D" w14:textId="41E702C3" w:rsidR="006E0DE3" w:rsidRPr="006E0DE3" w:rsidRDefault="006E0DE3" w:rsidP="006E0DE3">
      <w:pPr>
        <w:rPr>
          <w:lang w:val="en-US"/>
        </w:rPr>
      </w:pPr>
      <w:r>
        <w:rPr>
          <w:lang w:val="en-US"/>
        </w:rPr>
        <w:t xml:space="preserve">Prop. </w:t>
      </w:r>
      <w:r w:rsidRPr="006E0DE3">
        <w:rPr>
          <w:lang w:val="en-US"/>
        </w:rPr>
        <w:t>1</w:t>
      </w:r>
      <w:r>
        <w:rPr>
          <w:lang w:val="en-US"/>
        </w:rPr>
        <w:t>.</w:t>
      </w:r>
      <w:r w:rsidRPr="006E0DE3">
        <w:rPr>
          <w:lang w:val="en-US"/>
        </w:rPr>
        <w:tab/>
        <w:t xml:space="preserve">This race condition case was discussed in previous meetings and the conclusion was that it could be solved by implementation e.g. Timer-based cancellation in R3-200216. The procedural text of the target initiated cancellation and the abnormal condition in the handover success procedure was modified accordingly. Changing the procedure to class-1 will not reduce the time the target has to keep the reserved resources, as the target will have to wait for the response message i.e. 2 times X2/Xn delay + RRC reconfiguration including possible retransmission. And it limits the </w:t>
      </w:r>
      <w:r w:rsidRPr="006E0DE3">
        <w:rPr>
          <w:lang w:val="en-US"/>
        </w:rPr>
        <w:lastRenderedPageBreak/>
        <w:t>possible implementations. The time the target waits before removing the context (which could be 0) has to be decided by the target.</w:t>
      </w:r>
    </w:p>
    <w:p w14:paraId="58639097" w14:textId="5661BD3E" w:rsidR="006E0DE3" w:rsidRDefault="006E0DE3" w:rsidP="006E0DE3">
      <w:pPr>
        <w:rPr>
          <w:lang w:val="en-US"/>
        </w:rPr>
      </w:pPr>
      <w:r>
        <w:rPr>
          <w:lang w:val="en-US"/>
        </w:rPr>
        <w:t xml:space="preserve">Prop. </w:t>
      </w:r>
      <w:r w:rsidRPr="006E0DE3">
        <w:rPr>
          <w:lang w:val="en-US"/>
        </w:rPr>
        <w:t>3.</w:t>
      </w:r>
      <w:r w:rsidRPr="006E0DE3">
        <w:rPr>
          <w:lang w:val="en-US"/>
        </w:rPr>
        <w:tab/>
        <w:t>In general, we should not specify a behavior based on the absence of an IE. But I think the procedural text we added for the cell list is clear enough, and we don’t want to change the legacy part. If this the IE is not present you cancel everything (legacy), if present only a subset. For the abnormal conditions we could keep the first added sentence, but removing the part after the comma (i.e. but shall still cancel the target cell associated to immediate handover if any) which is redundant in my opinion. For the second sentence, I think that the target should not ignore the message entirely but only the cell IDs which are not related to this UE-associated signaling connection.</w:t>
      </w:r>
    </w:p>
    <w:p w14:paraId="7228C6F4" w14:textId="77777777" w:rsidR="006E0DE3" w:rsidRPr="006B5BCF" w:rsidRDefault="006E0DE3" w:rsidP="006E0DE3">
      <w:pPr>
        <w:rPr>
          <w:b/>
          <w:bCs/>
          <w:u w:val="single"/>
          <w:lang w:val="en-US"/>
        </w:rPr>
      </w:pPr>
      <w:r w:rsidRPr="006B5BCF">
        <w:rPr>
          <w:b/>
          <w:bCs/>
          <w:u w:val="single"/>
          <w:lang w:val="en-US"/>
        </w:rPr>
        <w:t>Intel</w:t>
      </w:r>
    </w:p>
    <w:p w14:paraId="4C5E660C" w14:textId="472DF673" w:rsidR="006E0DE3" w:rsidRDefault="006E0DE3" w:rsidP="006E0DE3">
      <w:pPr>
        <w:rPr>
          <w:lang w:val="en-US"/>
        </w:rPr>
      </w:pPr>
      <w:r>
        <w:t>Agree with Ericsson.</w:t>
      </w:r>
    </w:p>
    <w:p w14:paraId="7EA5DB85" w14:textId="0D12FECD" w:rsidR="006E0DE3" w:rsidRDefault="001B736A" w:rsidP="006E0DE3">
      <w:pPr>
        <w:rPr>
          <w:lang w:val="en-US"/>
        </w:rPr>
      </w:pPr>
      <w:r>
        <w:rPr>
          <w:lang w:val="en-US"/>
        </w:rPr>
        <w:t>However, there is the issue of using the list of the target cells:</w:t>
      </w:r>
    </w:p>
    <w:p w14:paraId="3B8A7527" w14:textId="6E4B35E0" w:rsidR="001B736A" w:rsidRDefault="001B736A" w:rsidP="001B736A">
      <w:pPr>
        <w:overflowPunct w:val="0"/>
        <w:autoSpaceDE w:val="0"/>
        <w:autoSpaceDN w:val="0"/>
        <w:textAlignment w:val="baseline"/>
        <w:rPr>
          <w:lang w:val="en-US" w:eastAsia="ja-JP"/>
        </w:rPr>
      </w:pPr>
      <w:bookmarkStart w:id="2" w:name="_Hlk18054222"/>
      <w:r>
        <w:rPr>
          <w:lang w:val="en-US"/>
        </w:rPr>
        <w:t xml:space="preserve">“If the </w:t>
      </w:r>
      <w:r>
        <w:rPr>
          <w:i/>
          <w:iCs/>
          <w:lang w:val="en-US"/>
        </w:rPr>
        <w:t>Candidate Cells To Be Cancelled List</w:t>
      </w:r>
      <w:r>
        <w:rPr>
          <w:lang w:val="en-US"/>
        </w:rPr>
        <w:t xml:space="preserve"> IE is included in CONDITIONAL HANDOVER CANCEL message, the source NG-RAN node shall consider that only the resources reserved for the cells identified by the included NG-RAN </w:t>
      </w:r>
      <w:r>
        <w:rPr>
          <w:lang w:val="en-US" w:eastAsia="ja-JP"/>
        </w:rPr>
        <w:t>CGI are about to be released.”</w:t>
      </w:r>
    </w:p>
    <w:p w14:paraId="565EC16B" w14:textId="77C0976C" w:rsidR="001B736A" w:rsidRDefault="001B736A" w:rsidP="001B736A">
      <w:pPr>
        <w:overflowPunct w:val="0"/>
        <w:autoSpaceDE w:val="0"/>
        <w:autoSpaceDN w:val="0"/>
        <w:textAlignment w:val="baseline"/>
        <w:rPr>
          <w:lang w:val="en-US" w:eastAsia="ja-JP"/>
        </w:rPr>
      </w:pPr>
      <w:r>
        <w:rPr>
          <w:lang w:val="en-US" w:eastAsia="ja-JP"/>
        </w:rPr>
        <w:t>and</w:t>
      </w:r>
    </w:p>
    <w:p w14:paraId="79EA8A70" w14:textId="51A76A60" w:rsidR="001B736A" w:rsidRDefault="001B736A" w:rsidP="001B736A">
      <w:pPr>
        <w:rPr>
          <w:rFonts w:ascii="Calibri" w:hAnsi="Calibri" w:cs="Calibri"/>
          <w:sz w:val="22"/>
          <w:szCs w:val="22"/>
          <w:lang w:val="en-US"/>
        </w:rPr>
      </w:pPr>
      <w:bookmarkStart w:id="3" w:name="OLE_LINK5"/>
      <w:bookmarkEnd w:id="2"/>
      <w:r>
        <w:rPr>
          <w:lang w:val="en-US"/>
        </w:rPr>
        <w:t xml:space="preserve">“If the </w:t>
      </w:r>
      <w:r>
        <w:rPr>
          <w:i/>
          <w:iCs/>
          <w:lang w:val="en-US"/>
        </w:rPr>
        <w:t>Candidate Cells To Be Cancelled List</w:t>
      </w:r>
      <w:r>
        <w:rPr>
          <w:lang w:val="en-US"/>
        </w:rPr>
        <w:t xml:space="preserve"> IE is included in CONDITIONAL HANDOVER CANCEL message, the source NG-RAN node shall consider that only the resources reserved for the candidate cells associated to the same UE-associated signaling identified by the </w:t>
      </w:r>
      <w:r>
        <w:rPr>
          <w:i/>
          <w:iCs/>
          <w:lang w:val="en-US"/>
        </w:rPr>
        <w:t>Source NG-RAN node UE XnAP ID</w:t>
      </w:r>
      <w:r>
        <w:rPr>
          <w:lang w:val="en-US"/>
        </w:rPr>
        <w:t xml:space="preserve"> and </w:t>
      </w:r>
      <w:r>
        <w:rPr>
          <w:i/>
          <w:iCs/>
          <w:lang w:val="en-US"/>
        </w:rPr>
        <w:t>Target NG-RAN node UE XnAP ID</w:t>
      </w:r>
      <w:r>
        <w:rPr>
          <w:lang w:val="en-US"/>
        </w:rPr>
        <w:t xml:space="preserve"> are about to be released.</w:t>
      </w:r>
      <w:bookmarkEnd w:id="3"/>
      <w:r>
        <w:rPr>
          <w:lang w:val="en-US"/>
        </w:rPr>
        <w:t>”</w:t>
      </w:r>
    </w:p>
    <w:p w14:paraId="38BE92E2" w14:textId="77777777" w:rsidR="001B736A" w:rsidRPr="001B736A" w:rsidRDefault="001B736A" w:rsidP="001B736A">
      <w:pPr>
        <w:rPr>
          <w:lang w:val="en-US"/>
        </w:rPr>
      </w:pPr>
      <w:r w:rsidRPr="001B736A">
        <w:rPr>
          <w:lang w:val="en-US"/>
        </w:rPr>
        <w:t xml:space="preserve">We have two behaviors when </w:t>
      </w:r>
      <w:r w:rsidRPr="001B736A">
        <w:rPr>
          <w:i/>
          <w:iCs/>
          <w:lang w:val="en-US"/>
        </w:rPr>
        <w:t>Candidate Cells To Be Cancelled List</w:t>
      </w:r>
      <w:r w:rsidRPr="001B736A">
        <w:rPr>
          <w:lang w:val="en-US"/>
        </w:rPr>
        <w:t xml:space="preserve"> IE is included?</w:t>
      </w:r>
    </w:p>
    <w:p w14:paraId="2CC5A4B0" w14:textId="433F53CB" w:rsidR="001B736A" w:rsidRPr="00793D8F" w:rsidRDefault="00793D8F" w:rsidP="006E0DE3">
      <w:pPr>
        <w:rPr>
          <w:b/>
          <w:bCs/>
          <w:u w:val="single"/>
          <w:lang w:val="en-US"/>
        </w:rPr>
      </w:pPr>
      <w:r w:rsidRPr="00793D8F">
        <w:rPr>
          <w:b/>
          <w:bCs/>
          <w:u w:val="single"/>
          <w:lang w:val="en-US"/>
        </w:rPr>
        <w:t>ZTE</w:t>
      </w:r>
    </w:p>
    <w:p w14:paraId="6F7E7B32" w14:textId="56FF9419" w:rsidR="00793D8F" w:rsidRDefault="00793D8F" w:rsidP="006E0DE3">
      <w:pPr>
        <w:rPr>
          <w:lang w:val="en-US"/>
        </w:rPr>
      </w:pPr>
      <w:r w:rsidRPr="00793D8F">
        <w:rPr>
          <w:lang w:val="en-US"/>
        </w:rPr>
        <w:t>I</w:t>
      </w:r>
      <w:r>
        <w:rPr>
          <w:lang w:val="en-US"/>
        </w:rPr>
        <w:t xml:space="preserve"> </w:t>
      </w:r>
      <w:r w:rsidRPr="00793D8F">
        <w:rPr>
          <w:lang w:val="en-US"/>
        </w:rPr>
        <w:t>assume</w:t>
      </w:r>
      <w:r>
        <w:rPr>
          <w:lang w:val="en-US"/>
        </w:rPr>
        <w:t xml:space="preserve"> </w:t>
      </w:r>
      <w:r w:rsidRPr="00793D8F">
        <w:rPr>
          <w:lang w:val="en-US"/>
        </w:rPr>
        <w:t>the</w:t>
      </w:r>
      <w:r>
        <w:rPr>
          <w:lang w:val="en-US"/>
        </w:rPr>
        <w:t xml:space="preserve"> </w:t>
      </w:r>
      <w:r w:rsidRPr="00793D8F">
        <w:rPr>
          <w:lang w:val="en-US"/>
        </w:rPr>
        <w:t>second</w:t>
      </w:r>
      <w:r>
        <w:rPr>
          <w:lang w:val="en-US"/>
        </w:rPr>
        <w:t xml:space="preserve"> </w:t>
      </w:r>
      <w:r w:rsidRPr="00793D8F">
        <w:rPr>
          <w:lang w:val="en-US"/>
        </w:rPr>
        <w:t>one</w:t>
      </w:r>
      <w:r>
        <w:rPr>
          <w:lang w:val="en-US"/>
        </w:rPr>
        <w:t xml:space="preserve"> </w:t>
      </w:r>
      <w:r w:rsidRPr="00793D8F">
        <w:rPr>
          <w:lang w:val="en-US"/>
        </w:rPr>
        <w:t>is</w:t>
      </w:r>
      <w:r>
        <w:rPr>
          <w:lang w:val="en-US"/>
        </w:rPr>
        <w:t xml:space="preserve"> </w:t>
      </w:r>
      <w:r w:rsidRPr="00793D8F">
        <w:rPr>
          <w:lang w:val="en-US"/>
        </w:rPr>
        <w:t>the</w:t>
      </w:r>
      <w:r>
        <w:rPr>
          <w:lang w:val="en-US"/>
        </w:rPr>
        <w:t xml:space="preserve"> </w:t>
      </w:r>
      <w:r w:rsidRPr="00793D8F">
        <w:rPr>
          <w:lang w:val="en-US"/>
        </w:rPr>
        <w:t>correct</w:t>
      </w:r>
      <w:r>
        <w:rPr>
          <w:lang w:val="en-US"/>
        </w:rPr>
        <w:t xml:space="preserve"> </w:t>
      </w:r>
      <w:r w:rsidRPr="00793D8F">
        <w:rPr>
          <w:lang w:val="en-US"/>
        </w:rPr>
        <w:t>behavior,</w:t>
      </w:r>
      <w:r>
        <w:rPr>
          <w:lang w:val="en-US"/>
        </w:rPr>
        <w:t xml:space="preserve"> </w:t>
      </w:r>
      <w:r w:rsidRPr="00793D8F">
        <w:rPr>
          <w:lang w:val="en-US"/>
        </w:rPr>
        <w:t>as</w:t>
      </w:r>
      <w:r>
        <w:rPr>
          <w:lang w:val="en-US"/>
        </w:rPr>
        <w:t xml:space="preserve"> </w:t>
      </w:r>
      <w:r w:rsidRPr="00793D8F">
        <w:rPr>
          <w:lang w:val="en-US"/>
        </w:rPr>
        <w:t>candidate</w:t>
      </w:r>
      <w:r>
        <w:rPr>
          <w:lang w:val="en-US"/>
        </w:rPr>
        <w:t xml:space="preserve"> </w:t>
      </w:r>
      <w:r w:rsidRPr="00793D8F">
        <w:rPr>
          <w:lang w:val="en-US"/>
        </w:rPr>
        <w:t>cell</w:t>
      </w:r>
      <w:r>
        <w:rPr>
          <w:lang w:val="en-US"/>
        </w:rPr>
        <w:t xml:space="preserve"> </w:t>
      </w:r>
      <w:r w:rsidRPr="00793D8F">
        <w:rPr>
          <w:lang w:val="en-US"/>
        </w:rPr>
        <w:t>can</w:t>
      </w:r>
      <w:r>
        <w:rPr>
          <w:lang w:val="en-US"/>
        </w:rPr>
        <w:t xml:space="preserve"> </w:t>
      </w:r>
      <w:r w:rsidRPr="00793D8F">
        <w:rPr>
          <w:lang w:val="en-US"/>
        </w:rPr>
        <w:t>only</w:t>
      </w:r>
      <w:r>
        <w:rPr>
          <w:lang w:val="en-US"/>
        </w:rPr>
        <w:t xml:space="preserve"> </w:t>
      </w:r>
      <w:r w:rsidRPr="00793D8F">
        <w:rPr>
          <w:lang w:val="en-US"/>
        </w:rPr>
        <w:t>be</w:t>
      </w:r>
      <w:r>
        <w:rPr>
          <w:lang w:val="en-US"/>
        </w:rPr>
        <w:t xml:space="preserve"> </w:t>
      </w:r>
      <w:r w:rsidRPr="00793D8F">
        <w:rPr>
          <w:lang w:val="en-US"/>
        </w:rPr>
        <w:t>managed</w:t>
      </w:r>
      <w:r>
        <w:rPr>
          <w:lang w:val="en-US"/>
        </w:rPr>
        <w:t xml:space="preserve"> </w:t>
      </w:r>
      <w:r w:rsidRPr="00793D8F">
        <w:rPr>
          <w:lang w:val="en-US"/>
        </w:rPr>
        <w:t>(modify,</w:t>
      </w:r>
      <w:r>
        <w:rPr>
          <w:lang w:val="en-US"/>
        </w:rPr>
        <w:t xml:space="preserve"> </w:t>
      </w:r>
      <w:r w:rsidRPr="00793D8F">
        <w:rPr>
          <w:lang w:val="en-US"/>
        </w:rPr>
        <w:t>cancel)</w:t>
      </w:r>
      <w:r>
        <w:rPr>
          <w:lang w:val="en-US"/>
        </w:rPr>
        <w:t xml:space="preserve"> </w:t>
      </w:r>
      <w:r w:rsidRPr="00793D8F">
        <w:rPr>
          <w:lang w:val="en-US"/>
        </w:rPr>
        <w:t>via</w:t>
      </w:r>
      <w:r>
        <w:rPr>
          <w:lang w:val="en-US"/>
        </w:rPr>
        <w:t xml:space="preserve"> </w:t>
      </w:r>
      <w:r w:rsidRPr="00793D8F">
        <w:rPr>
          <w:lang w:val="en-US"/>
        </w:rPr>
        <w:t>its</w:t>
      </w:r>
      <w:r>
        <w:rPr>
          <w:lang w:val="en-US"/>
        </w:rPr>
        <w:t xml:space="preserve"> </w:t>
      </w:r>
      <w:r w:rsidRPr="00793D8F">
        <w:rPr>
          <w:lang w:val="en-US"/>
        </w:rPr>
        <w:t>associated</w:t>
      </w:r>
      <w:r>
        <w:rPr>
          <w:lang w:val="en-US"/>
        </w:rPr>
        <w:t xml:space="preserve"> </w:t>
      </w:r>
      <w:r w:rsidRPr="00793D8F">
        <w:rPr>
          <w:lang w:val="en-US"/>
        </w:rPr>
        <w:t>signaling</w:t>
      </w:r>
      <w:r>
        <w:rPr>
          <w:lang w:val="en-US"/>
        </w:rPr>
        <w:t xml:space="preserve"> </w:t>
      </w:r>
      <w:r w:rsidRPr="00793D8F">
        <w:rPr>
          <w:lang w:val="en-US"/>
        </w:rPr>
        <w:t>connection</w:t>
      </w:r>
      <w:r>
        <w:rPr>
          <w:lang w:val="en-US"/>
        </w:rPr>
        <w:t xml:space="preserve"> </w:t>
      </w:r>
      <w:r w:rsidRPr="00793D8F">
        <w:rPr>
          <w:lang w:val="en-US"/>
        </w:rPr>
        <w:t>of</w:t>
      </w:r>
      <w:r>
        <w:rPr>
          <w:lang w:val="en-US"/>
        </w:rPr>
        <w:t xml:space="preserve"> </w:t>
      </w:r>
      <w:r w:rsidRPr="00793D8F">
        <w:rPr>
          <w:lang w:val="en-US"/>
        </w:rPr>
        <w:t>creating,</w:t>
      </w:r>
      <w:r>
        <w:rPr>
          <w:lang w:val="en-US"/>
        </w:rPr>
        <w:t xml:space="preserve"> </w:t>
      </w:r>
      <w:r w:rsidRPr="00793D8F">
        <w:rPr>
          <w:lang w:val="en-US"/>
        </w:rPr>
        <w:t>no</w:t>
      </w:r>
      <w:r>
        <w:rPr>
          <w:lang w:val="en-US"/>
        </w:rPr>
        <w:t xml:space="preserve"> </w:t>
      </w:r>
      <w:r w:rsidRPr="00793D8F">
        <w:rPr>
          <w:lang w:val="en-US"/>
        </w:rPr>
        <w:t>cross-signalling</w:t>
      </w:r>
      <w:r>
        <w:rPr>
          <w:lang w:val="en-US"/>
        </w:rPr>
        <w:t xml:space="preserve"> </w:t>
      </w:r>
      <w:r w:rsidRPr="00793D8F">
        <w:rPr>
          <w:lang w:val="en-US"/>
        </w:rPr>
        <w:t>management.</w:t>
      </w:r>
    </w:p>
    <w:p w14:paraId="25E16338" w14:textId="643E5E4E" w:rsidR="00793D8F" w:rsidRPr="00793D8F" w:rsidRDefault="00793D8F" w:rsidP="006E0DE3">
      <w:pPr>
        <w:rPr>
          <w:b/>
          <w:bCs/>
          <w:u w:val="single"/>
          <w:lang w:val="en-US"/>
        </w:rPr>
      </w:pPr>
      <w:r w:rsidRPr="00793D8F">
        <w:rPr>
          <w:b/>
          <w:bCs/>
          <w:u w:val="single"/>
          <w:lang w:val="en-US"/>
        </w:rPr>
        <w:t>Nokia</w:t>
      </w:r>
    </w:p>
    <w:p w14:paraId="502263B2" w14:textId="329AD778" w:rsidR="00382CA9" w:rsidRDefault="00382CA9" w:rsidP="00793D8F">
      <w:pPr>
        <w:rPr>
          <w:lang w:val="en-US"/>
        </w:rPr>
      </w:pPr>
      <w:r>
        <w:rPr>
          <w:lang w:val="en-US"/>
        </w:rPr>
        <w:t>Prop. 1:</w:t>
      </w:r>
      <w:r w:rsidRPr="00382CA9">
        <w:rPr>
          <w:lang w:val="en-US"/>
        </w:rPr>
        <w:t xml:space="preserve"> </w:t>
      </w:r>
      <w:r>
        <w:rPr>
          <w:lang w:val="en-US"/>
        </w:rPr>
        <w:t>I</w:t>
      </w:r>
      <w:r w:rsidRPr="00382CA9">
        <w:rPr>
          <w:lang w:val="en-US"/>
        </w:rPr>
        <w:t>t seems the group prefers that CHO cancel remains a class-2 procedure and possible race condition is handled by implementation (timer).</w:t>
      </w:r>
    </w:p>
    <w:p w14:paraId="1F86475F" w14:textId="3A50FDB9" w:rsidR="00793D8F" w:rsidRPr="00793D8F" w:rsidRDefault="00382CA9" w:rsidP="00793D8F">
      <w:pPr>
        <w:rPr>
          <w:lang w:val="en-US"/>
        </w:rPr>
      </w:pPr>
      <w:r>
        <w:rPr>
          <w:lang w:val="en-US"/>
        </w:rPr>
        <w:t xml:space="preserve">Prop. 2: </w:t>
      </w:r>
      <w:r w:rsidR="00793D8F" w:rsidRPr="00793D8F">
        <w:rPr>
          <w:lang w:val="en-US"/>
        </w:rPr>
        <w:t>Regarding the corrections to the description, I also tend to agree that the 2nd citation (is it from X2AP BL CR?) is correct. And regarding Ericsson’s question, I would assume that the behaviour should be as follows:</w:t>
      </w:r>
    </w:p>
    <w:p w14:paraId="4EF251B8" w14:textId="2F7984C0" w:rsidR="00793D8F" w:rsidRPr="00793D8F" w:rsidRDefault="00793D8F" w:rsidP="00793D8F">
      <w:pPr>
        <w:pStyle w:val="ListParagraph"/>
        <w:numPr>
          <w:ilvl w:val="0"/>
          <w:numId w:val="40"/>
        </w:numPr>
        <w:ind w:left="714" w:hanging="357"/>
        <w:contextualSpacing w:val="0"/>
      </w:pPr>
      <w:r w:rsidRPr="00793D8F">
        <w:t>There is no list =&gt; the CHO cancel concern all the UE context, all resources are released;</w:t>
      </w:r>
    </w:p>
    <w:p w14:paraId="4135EA2B" w14:textId="1CB39C52" w:rsidR="00793D8F" w:rsidRPr="00793D8F" w:rsidRDefault="00793D8F" w:rsidP="00793D8F">
      <w:pPr>
        <w:pStyle w:val="ListParagraph"/>
        <w:numPr>
          <w:ilvl w:val="0"/>
          <w:numId w:val="40"/>
        </w:numPr>
        <w:ind w:left="714" w:hanging="357"/>
        <w:contextualSpacing w:val="0"/>
      </w:pPr>
      <w:r w:rsidRPr="00793D8F">
        <w:t>There is the list of cells =&gt; the receiver checks one-by-one the target cell IDs, and if matching the UE context (identified by the UE ID), then that part of the preparation is released; if the cell ID can’t be found, that element is ignored.</w:t>
      </w:r>
    </w:p>
    <w:p w14:paraId="47B4BBDD" w14:textId="29644F25" w:rsidR="00793D8F" w:rsidRDefault="00793D8F" w:rsidP="00793D8F">
      <w:pPr>
        <w:rPr>
          <w:lang w:val="en-US"/>
        </w:rPr>
      </w:pPr>
      <w:r w:rsidRPr="00793D8F">
        <w:rPr>
          <w:lang w:val="en-US"/>
        </w:rPr>
        <w:t>From that, logically, a message with cell list, but with all cells wrong/invalid is effectively ignored as whole. Would that be a correct interpretation?</w:t>
      </w:r>
    </w:p>
    <w:p w14:paraId="28E42E52" w14:textId="77777777" w:rsidR="000F16C4" w:rsidRPr="00F418FD" w:rsidRDefault="00CD2620" w:rsidP="00E00CEF">
      <w:pPr>
        <w:pStyle w:val="Heading1"/>
      </w:pPr>
      <w:r w:rsidRPr="00F418FD">
        <w:t>3</w:t>
      </w:r>
      <w:r w:rsidR="000F16C4" w:rsidRPr="00F418FD">
        <w:tab/>
      </w:r>
      <w:r w:rsidRPr="00F418FD">
        <w:t>Conclusions</w:t>
      </w:r>
    </w:p>
    <w:p w14:paraId="2C10ADBC" w14:textId="74DCE2B2" w:rsidR="00A15228" w:rsidRDefault="00382CA9" w:rsidP="006A43F7">
      <w:pPr>
        <w:jc w:val="both"/>
        <w:rPr>
          <w:bCs/>
        </w:rPr>
      </w:pPr>
      <w:r>
        <w:rPr>
          <w:bCs/>
        </w:rPr>
        <w:t>Based on the discussion, it is proposed:</w:t>
      </w:r>
    </w:p>
    <w:p w14:paraId="58F1AA51" w14:textId="204C8F93" w:rsidR="00382CA9" w:rsidRPr="007A13AB" w:rsidRDefault="007A13AB" w:rsidP="007A13AB">
      <w:pPr>
        <w:pStyle w:val="ListParagraph"/>
        <w:numPr>
          <w:ilvl w:val="0"/>
          <w:numId w:val="42"/>
        </w:numPr>
        <w:ind w:hanging="357"/>
        <w:contextualSpacing w:val="0"/>
        <w:jc w:val="both"/>
        <w:rPr>
          <w:bCs/>
        </w:rPr>
      </w:pPr>
      <w:r w:rsidRPr="007A13AB">
        <w:rPr>
          <w:bCs/>
        </w:rPr>
        <w:t>The target-initiated cancellation remains class-2 procedure (no change to the BL CR</w:t>
      </w:r>
      <w:r w:rsidR="0076212C">
        <w:rPr>
          <w:bCs/>
        </w:rPr>
        <w:t>, TPs in R3-200217 and R3-200218 are noted</w:t>
      </w:r>
      <w:r w:rsidRPr="007A13AB">
        <w:rPr>
          <w:bCs/>
        </w:rPr>
        <w:t>);</w:t>
      </w:r>
    </w:p>
    <w:p w14:paraId="0B86B74B" w14:textId="06D06AA0" w:rsidR="007A13AB" w:rsidRPr="007A13AB" w:rsidRDefault="007A13AB" w:rsidP="007A13AB">
      <w:pPr>
        <w:pStyle w:val="ListParagraph"/>
        <w:numPr>
          <w:ilvl w:val="0"/>
          <w:numId w:val="42"/>
        </w:numPr>
        <w:ind w:hanging="357"/>
        <w:contextualSpacing w:val="0"/>
        <w:jc w:val="both"/>
        <w:rPr>
          <w:bCs/>
        </w:rPr>
      </w:pPr>
      <w:r w:rsidRPr="007A13AB">
        <w:rPr>
          <w:bCs/>
        </w:rPr>
        <w:t>The description of the way cancellation works is edited so that the it is clear that</w:t>
      </w:r>
    </w:p>
    <w:p w14:paraId="04973B85" w14:textId="253E1C05" w:rsidR="007A13AB" w:rsidRPr="007A13AB" w:rsidRDefault="007A13AB" w:rsidP="00C946A5">
      <w:pPr>
        <w:pStyle w:val="ListParagraph"/>
        <w:numPr>
          <w:ilvl w:val="1"/>
          <w:numId w:val="43"/>
        </w:numPr>
        <w:contextualSpacing w:val="0"/>
        <w:jc w:val="both"/>
        <w:rPr>
          <w:bCs/>
        </w:rPr>
      </w:pPr>
      <w:r w:rsidRPr="007A13AB">
        <w:rPr>
          <w:bCs/>
        </w:rPr>
        <w:t>All resources are cleared when the list of cells is not included;</w:t>
      </w:r>
    </w:p>
    <w:p w14:paraId="5AC5A92E" w14:textId="797F3E4C" w:rsidR="007A13AB" w:rsidRPr="007A13AB" w:rsidRDefault="007A13AB" w:rsidP="00C946A5">
      <w:pPr>
        <w:pStyle w:val="ListParagraph"/>
        <w:numPr>
          <w:ilvl w:val="1"/>
          <w:numId w:val="43"/>
        </w:numPr>
        <w:contextualSpacing w:val="0"/>
        <w:jc w:val="both"/>
        <w:rPr>
          <w:bCs/>
        </w:rPr>
      </w:pPr>
      <w:r w:rsidRPr="007A13AB">
        <w:rPr>
          <w:bCs/>
        </w:rPr>
        <w:t>If the list of cells is included, resources are cleared for cells that were previously prepared for the given UE ID.</w:t>
      </w:r>
    </w:p>
    <w:p w14:paraId="2185E70B" w14:textId="0F76C020" w:rsidR="007A13AB" w:rsidRPr="0076212C" w:rsidRDefault="007A13AB" w:rsidP="006A43F7">
      <w:pPr>
        <w:jc w:val="both"/>
        <w:rPr>
          <w:b/>
        </w:rPr>
      </w:pPr>
      <w:r w:rsidRPr="0076212C">
        <w:rPr>
          <w:b/>
        </w:rPr>
        <w:lastRenderedPageBreak/>
        <w:t>It is therefore proposed to endorse TP</w:t>
      </w:r>
      <w:r w:rsidR="005B1340">
        <w:rPr>
          <w:b/>
        </w:rPr>
        <w:t>s</w:t>
      </w:r>
      <w:bookmarkStart w:id="4" w:name="_GoBack"/>
      <w:bookmarkEnd w:id="4"/>
      <w:r w:rsidRPr="0076212C">
        <w:rPr>
          <w:b/>
        </w:rPr>
        <w:t xml:space="preserve"> in </w:t>
      </w:r>
      <w:r w:rsidR="0076212C" w:rsidRPr="0076212C">
        <w:rPr>
          <w:b/>
        </w:rPr>
        <w:t>R3-201304 [6] and R3-201305 [7].</w:t>
      </w:r>
    </w:p>
    <w:p w14:paraId="483F8717" w14:textId="77777777" w:rsidR="00403B9B" w:rsidRPr="00F418FD" w:rsidRDefault="00403B9B" w:rsidP="00403B9B">
      <w:pPr>
        <w:pStyle w:val="Heading1"/>
      </w:pPr>
      <w:r w:rsidRPr="00F418FD">
        <w:t>References</w:t>
      </w:r>
    </w:p>
    <w:p w14:paraId="627C0F46" w14:textId="2F0CB122" w:rsidR="00993F07" w:rsidRDefault="00993F07" w:rsidP="008A3464">
      <w:pPr>
        <w:numPr>
          <w:ilvl w:val="0"/>
          <w:numId w:val="4"/>
        </w:numPr>
        <w:overflowPunct w:val="0"/>
        <w:autoSpaceDE w:val="0"/>
        <w:autoSpaceDN w:val="0"/>
        <w:adjustRightInd w:val="0"/>
        <w:textAlignment w:val="baseline"/>
      </w:pPr>
      <w:r>
        <w:t>R3-200216, RAN3 #107-e</w:t>
      </w:r>
    </w:p>
    <w:p w14:paraId="2AF1DCFA" w14:textId="73BE3173" w:rsidR="006A43F7" w:rsidRDefault="00C4446D" w:rsidP="008A3464">
      <w:pPr>
        <w:numPr>
          <w:ilvl w:val="0"/>
          <w:numId w:val="4"/>
        </w:numPr>
        <w:overflowPunct w:val="0"/>
        <w:autoSpaceDE w:val="0"/>
        <w:autoSpaceDN w:val="0"/>
        <w:adjustRightInd w:val="0"/>
        <w:textAlignment w:val="baseline"/>
      </w:pPr>
      <w:bookmarkStart w:id="5" w:name="_Hlk33522123"/>
      <w:r>
        <w:t>R3-20</w:t>
      </w:r>
      <w:r w:rsidR="00BD2120">
        <w:t>0217</w:t>
      </w:r>
      <w:r>
        <w:t>, RAN3 #107</w:t>
      </w:r>
      <w:r w:rsidR="00BD2120">
        <w:t>-e</w:t>
      </w:r>
      <w:bookmarkEnd w:id="5"/>
    </w:p>
    <w:p w14:paraId="7694C6FC" w14:textId="14F434B4" w:rsidR="00C4446D" w:rsidRDefault="00C4446D" w:rsidP="008A3464">
      <w:pPr>
        <w:numPr>
          <w:ilvl w:val="0"/>
          <w:numId w:val="4"/>
        </w:numPr>
        <w:overflowPunct w:val="0"/>
        <w:autoSpaceDE w:val="0"/>
        <w:autoSpaceDN w:val="0"/>
        <w:adjustRightInd w:val="0"/>
        <w:textAlignment w:val="baseline"/>
      </w:pPr>
      <w:r>
        <w:t>R3-20</w:t>
      </w:r>
      <w:r w:rsidR="00BD2120">
        <w:t>0218</w:t>
      </w:r>
      <w:r>
        <w:t>, RAN3 #107</w:t>
      </w:r>
      <w:r w:rsidR="00BD2120">
        <w:t>-e</w:t>
      </w:r>
    </w:p>
    <w:p w14:paraId="77969E93" w14:textId="25CDD9C9" w:rsidR="00993F07" w:rsidRDefault="00993F07" w:rsidP="008A3464">
      <w:pPr>
        <w:numPr>
          <w:ilvl w:val="0"/>
          <w:numId w:val="4"/>
        </w:numPr>
        <w:overflowPunct w:val="0"/>
        <w:autoSpaceDE w:val="0"/>
        <w:autoSpaceDN w:val="0"/>
        <w:adjustRightInd w:val="0"/>
        <w:textAlignment w:val="baseline"/>
      </w:pPr>
      <w:r>
        <w:t>R3-200331, RAN3 #107-e</w:t>
      </w:r>
    </w:p>
    <w:p w14:paraId="3F6D3EAF" w14:textId="5A34B720" w:rsidR="00993F07" w:rsidRDefault="00993F07" w:rsidP="008A3464">
      <w:pPr>
        <w:numPr>
          <w:ilvl w:val="0"/>
          <w:numId w:val="4"/>
        </w:numPr>
        <w:overflowPunct w:val="0"/>
        <w:autoSpaceDE w:val="0"/>
        <w:autoSpaceDN w:val="0"/>
        <w:adjustRightInd w:val="0"/>
        <w:textAlignment w:val="baseline"/>
      </w:pPr>
      <w:bookmarkStart w:id="6" w:name="_Hlk33720427"/>
      <w:r>
        <w:t>R3-20033</w:t>
      </w:r>
      <w:r w:rsidR="00E14925">
        <w:t>3</w:t>
      </w:r>
      <w:r>
        <w:t>, RAN3 #107-e</w:t>
      </w:r>
      <w:bookmarkEnd w:id="6"/>
    </w:p>
    <w:p w14:paraId="33622569" w14:textId="00AAB881" w:rsidR="0076212C" w:rsidRDefault="0076212C" w:rsidP="008A3464">
      <w:pPr>
        <w:numPr>
          <w:ilvl w:val="0"/>
          <w:numId w:val="4"/>
        </w:numPr>
        <w:overflowPunct w:val="0"/>
        <w:autoSpaceDE w:val="0"/>
        <w:autoSpaceDN w:val="0"/>
        <w:adjustRightInd w:val="0"/>
        <w:textAlignment w:val="baseline"/>
      </w:pPr>
      <w:r>
        <w:t>R3-201304, RAN3 #107-e</w:t>
      </w:r>
    </w:p>
    <w:p w14:paraId="714AA6FF" w14:textId="6A42FD29" w:rsidR="0076212C" w:rsidRPr="00F418FD" w:rsidRDefault="0076212C" w:rsidP="008A3464">
      <w:pPr>
        <w:numPr>
          <w:ilvl w:val="0"/>
          <w:numId w:val="4"/>
        </w:numPr>
        <w:overflowPunct w:val="0"/>
        <w:autoSpaceDE w:val="0"/>
        <w:autoSpaceDN w:val="0"/>
        <w:adjustRightInd w:val="0"/>
        <w:textAlignment w:val="baseline"/>
      </w:pPr>
      <w:r>
        <w:t>R3-201305, RAN3 #107-e</w:t>
      </w:r>
    </w:p>
    <w:p w14:paraId="01293442" w14:textId="77777777" w:rsidR="0022219E" w:rsidRPr="00F418FD" w:rsidRDefault="0022219E" w:rsidP="0022219E">
      <w:pPr>
        <w:overflowPunct w:val="0"/>
        <w:autoSpaceDE w:val="0"/>
        <w:autoSpaceDN w:val="0"/>
        <w:adjustRightInd w:val="0"/>
        <w:textAlignment w:val="baseline"/>
      </w:pPr>
    </w:p>
    <w:sectPr w:rsidR="0022219E" w:rsidRPr="00F418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F0736" w14:textId="77777777" w:rsidR="00785C18" w:rsidRDefault="00785C18">
      <w:r>
        <w:separator/>
      </w:r>
    </w:p>
  </w:endnote>
  <w:endnote w:type="continuationSeparator" w:id="0">
    <w:p w14:paraId="0D6595C5" w14:textId="77777777" w:rsidR="00785C18" w:rsidRDefault="00785C18">
      <w:r>
        <w:continuationSeparator/>
      </w:r>
    </w:p>
  </w:endnote>
  <w:endnote w:type="continuationNotice" w:id="1">
    <w:p w14:paraId="6F9AC744" w14:textId="77777777" w:rsidR="00785C18" w:rsidRDefault="00785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F2517" w14:textId="77777777" w:rsidR="00785C18" w:rsidRDefault="00785C18">
      <w:r>
        <w:separator/>
      </w:r>
    </w:p>
  </w:footnote>
  <w:footnote w:type="continuationSeparator" w:id="0">
    <w:p w14:paraId="41AB9881" w14:textId="77777777" w:rsidR="00785C18" w:rsidRDefault="00785C18">
      <w:r>
        <w:continuationSeparator/>
      </w:r>
    </w:p>
  </w:footnote>
  <w:footnote w:type="continuationNotice" w:id="1">
    <w:p w14:paraId="64626745" w14:textId="77777777" w:rsidR="00785C18" w:rsidRDefault="00785C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2D11D32"/>
    <w:multiLevelType w:val="hybridMultilevel"/>
    <w:tmpl w:val="6688EEF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137789E"/>
    <w:multiLevelType w:val="hybridMultilevel"/>
    <w:tmpl w:val="1C24F508"/>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1802F40"/>
    <w:multiLevelType w:val="hybridMultilevel"/>
    <w:tmpl w:val="C8A28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6F399A"/>
    <w:multiLevelType w:val="hybridMultilevel"/>
    <w:tmpl w:val="FD72C800"/>
    <w:lvl w:ilvl="0" w:tplc="0415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2C587B"/>
    <w:multiLevelType w:val="hybridMultilevel"/>
    <w:tmpl w:val="4ECC6418"/>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4"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9F65F3"/>
    <w:multiLevelType w:val="hybridMultilevel"/>
    <w:tmpl w:val="E318C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5"/>
  </w:num>
  <w:num w:numId="4">
    <w:abstractNumId w:val="9"/>
  </w:num>
  <w:num w:numId="5">
    <w:abstractNumId w:val="10"/>
  </w:num>
  <w:num w:numId="6">
    <w:abstractNumId w:val="42"/>
  </w:num>
  <w:num w:numId="7">
    <w:abstractNumId w:val="28"/>
  </w:num>
  <w:num w:numId="8">
    <w:abstractNumId w:val="17"/>
  </w:num>
  <w:num w:numId="9">
    <w:abstractNumId w:val="41"/>
  </w:num>
  <w:num w:numId="10">
    <w:abstractNumId w:val="27"/>
  </w:num>
  <w:num w:numId="11">
    <w:abstractNumId w:val="14"/>
  </w:num>
  <w:num w:numId="12">
    <w:abstractNumId w:val="35"/>
  </w:num>
  <w:num w:numId="13">
    <w:abstractNumId w:val="36"/>
  </w:num>
  <w:num w:numId="14">
    <w:abstractNumId w:val="34"/>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30"/>
  </w:num>
  <w:num w:numId="26">
    <w:abstractNumId w:val="18"/>
  </w:num>
  <w:num w:numId="27">
    <w:abstractNumId w:val="23"/>
  </w:num>
  <w:num w:numId="28">
    <w:abstractNumId w:val="39"/>
  </w:num>
  <w:num w:numId="29">
    <w:abstractNumId w:val="40"/>
  </w:num>
  <w:num w:numId="30">
    <w:abstractNumId w:val="29"/>
  </w:num>
  <w:num w:numId="31">
    <w:abstractNumId w:val="26"/>
  </w:num>
  <w:num w:numId="32">
    <w:abstractNumId w:val="19"/>
  </w:num>
  <w:num w:numId="33">
    <w:abstractNumId w:val="31"/>
  </w:num>
  <w:num w:numId="34">
    <w:abstractNumId w:val="13"/>
  </w:num>
  <w:num w:numId="35">
    <w:abstractNumId w:val="11"/>
  </w:num>
  <w:num w:numId="36">
    <w:abstractNumId w:val="37"/>
  </w:num>
  <w:num w:numId="37">
    <w:abstractNumId w:val="24"/>
  </w:num>
  <w:num w:numId="38">
    <w:abstractNumId w:val="32"/>
  </w:num>
  <w:num w:numId="39">
    <w:abstractNumId w:val="25"/>
  </w:num>
  <w:num w:numId="40">
    <w:abstractNumId w:val="21"/>
  </w:num>
  <w:num w:numId="41">
    <w:abstractNumId w:val="38"/>
  </w:num>
  <w:num w:numId="42">
    <w:abstractNumId w:val="12"/>
  </w:num>
  <w:num w:numId="43">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5D78"/>
    <w:rsid w:val="0004695C"/>
    <w:rsid w:val="000475F2"/>
    <w:rsid w:val="00051152"/>
    <w:rsid w:val="00051B46"/>
    <w:rsid w:val="0005208F"/>
    <w:rsid w:val="0005212E"/>
    <w:rsid w:val="0005262E"/>
    <w:rsid w:val="00054F0E"/>
    <w:rsid w:val="0005648A"/>
    <w:rsid w:val="00056FCD"/>
    <w:rsid w:val="0005753D"/>
    <w:rsid w:val="00061BD0"/>
    <w:rsid w:val="00063F07"/>
    <w:rsid w:val="00064BA2"/>
    <w:rsid w:val="00067E1F"/>
    <w:rsid w:val="000705C2"/>
    <w:rsid w:val="00071326"/>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7CA"/>
    <w:rsid w:val="000C2A2A"/>
    <w:rsid w:val="000C3DA6"/>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388B"/>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5F6F"/>
    <w:rsid w:val="00196B97"/>
    <w:rsid w:val="00197002"/>
    <w:rsid w:val="001A1B05"/>
    <w:rsid w:val="001A2F0F"/>
    <w:rsid w:val="001A445F"/>
    <w:rsid w:val="001A6676"/>
    <w:rsid w:val="001A68CF"/>
    <w:rsid w:val="001A7E3F"/>
    <w:rsid w:val="001B00BD"/>
    <w:rsid w:val="001B0179"/>
    <w:rsid w:val="001B0E81"/>
    <w:rsid w:val="001B290B"/>
    <w:rsid w:val="001B5425"/>
    <w:rsid w:val="001B736A"/>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4182"/>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0355"/>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CA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4F"/>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2BF"/>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41DA"/>
    <w:rsid w:val="005A669D"/>
    <w:rsid w:val="005B01C6"/>
    <w:rsid w:val="005B021A"/>
    <w:rsid w:val="005B0915"/>
    <w:rsid w:val="005B1232"/>
    <w:rsid w:val="005B1340"/>
    <w:rsid w:val="005B1D3C"/>
    <w:rsid w:val="005B34D8"/>
    <w:rsid w:val="005B4DEE"/>
    <w:rsid w:val="005B6646"/>
    <w:rsid w:val="005C1021"/>
    <w:rsid w:val="005C16A8"/>
    <w:rsid w:val="005C7B8F"/>
    <w:rsid w:val="005D2B9E"/>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0CD"/>
    <w:rsid w:val="006414E1"/>
    <w:rsid w:val="00642ACA"/>
    <w:rsid w:val="0064548A"/>
    <w:rsid w:val="0064557C"/>
    <w:rsid w:val="0064589C"/>
    <w:rsid w:val="00646C53"/>
    <w:rsid w:val="00646D77"/>
    <w:rsid w:val="006508FC"/>
    <w:rsid w:val="00651AAB"/>
    <w:rsid w:val="00651F94"/>
    <w:rsid w:val="006530AA"/>
    <w:rsid w:val="00655A25"/>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B5BCF"/>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0DE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0706B"/>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12C"/>
    <w:rsid w:val="0076250D"/>
    <w:rsid w:val="00765BA8"/>
    <w:rsid w:val="00765E5A"/>
    <w:rsid w:val="007709F9"/>
    <w:rsid w:val="00772865"/>
    <w:rsid w:val="00772E0E"/>
    <w:rsid w:val="00776187"/>
    <w:rsid w:val="00781F0F"/>
    <w:rsid w:val="00783DFD"/>
    <w:rsid w:val="00785C18"/>
    <w:rsid w:val="00787213"/>
    <w:rsid w:val="0078727C"/>
    <w:rsid w:val="007877A5"/>
    <w:rsid w:val="007905DB"/>
    <w:rsid w:val="00790C87"/>
    <w:rsid w:val="007934C8"/>
    <w:rsid w:val="00793D8F"/>
    <w:rsid w:val="00794528"/>
    <w:rsid w:val="0079584B"/>
    <w:rsid w:val="00796008"/>
    <w:rsid w:val="0079775E"/>
    <w:rsid w:val="007A13AB"/>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99C"/>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37A"/>
    <w:rsid w:val="0099180C"/>
    <w:rsid w:val="00993BBC"/>
    <w:rsid w:val="00993F07"/>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49F7"/>
    <w:rsid w:val="00AB7904"/>
    <w:rsid w:val="00AC01D1"/>
    <w:rsid w:val="00AC205B"/>
    <w:rsid w:val="00AC2C87"/>
    <w:rsid w:val="00AC30E3"/>
    <w:rsid w:val="00AC39D1"/>
    <w:rsid w:val="00AC4E7E"/>
    <w:rsid w:val="00AC74DE"/>
    <w:rsid w:val="00AD6538"/>
    <w:rsid w:val="00AE0FAB"/>
    <w:rsid w:val="00AE131B"/>
    <w:rsid w:val="00AE1816"/>
    <w:rsid w:val="00AE283D"/>
    <w:rsid w:val="00AE3238"/>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6BDC"/>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37C3"/>
    <w:rsid w:val="00BC434A"/>
    <w:rsid w:val="00BC6DEB"/>
    <w:rsid w:val="00BD1EA5"/>
    <w:rsid w:val="00BD2120"/>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4446D"/>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46A5"/>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5BFD"/>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07D4"/>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365F"/>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1229"/>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4720"/>
    <w:rsid w:val="00E14925"/>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59A"/>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9C6"/>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8F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5C55"/>
    <w:rsid w:val="00FB7070"/>
    <w:rsid w:val="00FC1192"/>
    <w:rsid w:val="00FC144E"/>
    <w:rsid w:val="00FC1A80"/>
    <w:rsid w:val="00FC4C02"/>
    <w:rsid w:val="00FC4F7A"/>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65116992">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68087599">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36376886">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docs\R3-2011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071000d9bbe17c8ef515ab843fccf194">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8c970c8efeaf23d1898f602767e448e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5AIRPNAIUNRU-1156379521-1557</_dlc_DocId>
    <_dlc_DocIdUrl xmlns="71c5aaf6-e6ce-465b-b873-5148d2a4c105">
      <Url>https://nokia.sharepoint.com/sites/c5g/e2earch/_layouts/15/DocIdRedir.aspx?ID=5AIRPNAIUNRU-1156379521-1557</Url>
      <Description>5AIRPNAIUNRU-1156379521-1557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C8949D8F-A794-4D91-B302-79F4524B2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62D9D083-A28F-455A-A84F-2A04D55F5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113</TotalTime>
  <Pages>3</Pages>
  <Words>892</Words>
  <Characters>5086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Summary of the email discussion #90 (MobEnh_CHO_common_CHOcancel)</vt:lpstr>
    </vt:vector>
  </TitlesOfParts>
  <Company>Nokia, Nokia Shanghai Bell</Company>
  <LinksUpToDate>false</LinksUpToDate>
  <CharactersWithSpaces>5967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email discussion #90 (MobEnh_CHO_common_CHOcancel)</dc:title>
  <dc:subject>3GPP RAN3 #107-e</dc:subject>
  <dc:creator>Benoist Sébire</dc:creator>
  <cp:keywords>&lt;keyword[, keyword, ]&gt;</cp:keywords>
  <dc:description/>
  <cp:lastModifiedBy>Nokia</cp:lastModifiedBy>
  <cp:revision>48</cp:revision>
  <cp:lastPrinted>2019-03-27T07:16:00Z</cp:lastPrinted>
  <dcterms:created xsi:type="dcterms:W3CDTF">2019-10-03T12:07:00Z</dcterms:created>
  <dcterms:modified xsi:type="dcterms:W3CDTF">2020-02-27T17:30:00Z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447a5e88-5346-492d-98e3-b3eb101f05cb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